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MCMCT Meeting Minutes</w:t>
      </w:r>
    </w:p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February 22, 2016</w:t>
      </w:r>
    </w:p>
    <w:p w:rsidR="00EA7358" w:rsidRPr="00CC2B5D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CAST Room 5-3</w:t>
      </w:r>
    </w:p>
    <w:p w:rsidR="00EA7358" w:rsidRDefault="00EA7358" w:rsidP="00EA7358">
      <w:pPr>
        <w:pStyle w:val="Body"/>
        <w:jc w:val="center"/>
        <w:rPr>
          <w:rFonts w:asciiTheme="minorHAnsi" w:eastAsia="Arial Unicode MS" w:hAnsiTheme="minorHAnsi" w:cstheme="minorHAnsi"/>
          <w:b/>
          <w:lang w:val="en-US"/>
        </w:rPr>
      </w:pPr>
      <w:r w:rsidRPr="00CC2B5D">
        <w:rPr>
          <w:rFonts w:asciiTheme="minorHAnsi" w:eastAsia="Arial Unicode MS" w:hAnsiTheme="minorHAnsi" w:cstheme="minorHAnsi"/>
          <w:b/>
          <w:lang w:val="en-US"/>
        </w:rPr>
        <w:t>10:00-12:00</w:t>
      </w:r>
    </w:p>
    <w:p w:rsidR="002556EE" w:rsidRPr="00EB7417" w:rsidRDefault="002556EE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r w:rsidRPr="00EB7417">
        <w:rPr>
          <w:rFonts w:asciiTheme="minorHAnsi" w:eastAsia="Arial Unicode MS" w:hAnsiTheme="minorHAnsi" w:cstheme="minorHAnsi"/>
          <w:lang w:val="en-US"/>
        </w:rPr>
        <w:t xml:space="preserve">Present: Cindy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H</w:t>
      </w:r>
      <w:r>
        <w:rPr>
          <w:rFonts w:asciiTheme="minorHAnsi" w:eastAsia="Arial Unicode MS" w:hAnsiTheme="minorHAnsi" w:cstheme="minorHAnsi"/>
          <w:lang w:val="en-US"/>
        </w:rPr>
        <w:t>imelstein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>, Beverly</w:t>
      </w:r>
      <w:r>
        <w:rPr>
          <w:rFonts w:asciiTheme="minorHAnsi" w:eastAsia="Arial Unicode MS" w:hAnsiTheme="minorHAnsi" w:cstheme="minorHAnsi"/>
          <w:lang w:val="en-US"/>
        </w:rPr>
        <w:t xml:space="preserve"> Ann D’Souza</w:t>
      </w:r>
      <w:r w:rsidRPr="00EB7417">
        <w:rPr>
          <w:rFonts w:asciiTheme="minorHAnsi" w:eastAsia="Arial Unicode MS" w:hAnsiTheme="minorHAnsi" w:cstheme="minorHAnsi"/>
          <w:lang w:val="en-US"/>
        </w:rPr>
        <w:t>, Cindy M</w:t>
      </w:r>
      <w:r>
        <w:rPr>
          <w:rFonts w:asciiTheme="minorHAnsi" w:eastAsia="Arial Unicode MS" w:hAnsiTheme="minorHAnsi" w:cstheme="minorHAnsi"/>
          <w:lang w:val="en-US"/>
        </w:rPr>
        <w:t>cCarthy</w:t>
      </w:r>
      <w:r w:rsidRPr="00EB7417">
        <w:rPr>
          <w:rFonts w:asciiTheme="minorHAnsi" w:eastAsia="Arial Unicode MS" w:hAnsiTheme="minorHAnsi" w:cstheme="minorHAnsi"/>
          <w:lang w:val="en-US"/>
        </w:rPr>
        <w:t>, Cynthia</w:t>
      </w:r>
      <w:r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Grundmann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 xml:space="preserve">, Linda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S</w:t>
      </w:r>
      <w:r>
        <w:rPr>
          <w:rFonts w:asciiTheme="minorHAnsi" w:eastAsia="Arial Unicode MS" w:hAnsiTheme="minorHAnsi" w:cstheme="minorHAnsi"/>
          <w:lang w:val="en-US"/>
        </w:rPr>
        <w:t>aad</w:t>
      </w:r>
      <w:proofErr w:type="spellEnd"/>
      <w:r>
        <w:rPr>
          <w:rFonts w:asciiTheme="minorHAnsi" w:eastAsia="Arial Unicode MS" w:hAnsiTheme="minorHAnsi" w:cstheme="minorHAnsi"/>
          <w:lang w:val="en-US"/>
        </w:rPr>
        <w:t>, Lee Ford-Jones, J</w:t>
      </w:r>
      <w:r w:rsidRPr="00EB7417">
        <w:rPr>
          <w:rFonts w:asciiTheme="minorHAnsi" w:eastAsia="Arial Unicode MS" w:hAnsiTheme="minorHAnsi" w:cstheme="minorHAnsi"/>
          <w:lang w:val="en-US"/>
        </w:rPr>
        <w:t>illian S</w:t>
      </w:r>
      <w:r>
        <w:rPr>
          <w:rFonts w:asciiTheme="minorHAnsi" w:eastAsia="Arial Unicode MS" w:hAnsiTheme="minorHAnsi" w:cstheme="minorHAnsi"/>
          <w:lang w:val="en-US"/>
        </w:rPr>
        <w:t>ewell</w:t>
      </w:r>
      <w:r w:rsidRPr="00EB7417">
        <w:rPr>
          <w:rFonts w:asciiTheme="minorHAnsi" w:eastAsia="Arial Unicode MS" w:hAnsiTheme="minorHAnsi" w:cstheme="minorHAnsi"/>
          <w:lang w:val="en-US"/>
        </w:rPr>
        <w:t>, Ian</w:t>
      </w:r>
      <w:r>
        <w:rPr>
          <w:rFonts w:asciiTheme="minorHAnsi" w:eastAsia="Arial Unicode MS" w:hAnsiTheme="minorHAnsi" w:cstheme="minorHAnsi"/>
          <w:lang w:val="en-US"/>
        </w:rPr>
        <w:t xml:space="preserve"> Edward</w:t>
      </w:r>
      <w:r w:rsidRPr="00EB7417">
        <w:rPr>
          <w:rFonts w:asciiTheme="minorHAnsi" w:eastAsia="Arial Unicode MS" w:hAnsiTheme="minorHAnsi" w:cstheme="minorHAnsi"/>
          <w:lang w:val="en-US"/>
        </w:rPr>
        <w:t xml:space="preserve">,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Zulehka</w:t>
      </w:r>
      <w:proofErr w:type="spellEnd"/>
      <w:r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Noormohamed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>, Diane</w:t>
      </w:r>
      <w:r>
        <w:rPr>
          <w:rFonts w:asciiTheme="minorHAnsi" w:eastAsia="Arial Unicode MS" w:hAnsiTheme="minorHAnsi" w:cstheme="minorHAnsi"/>
          <w:lang w:val="en-US"/>
        </w:rPr>
        <w:t xml:space="preserve"> Banks</w:t>
      </w:r>
      <w:r w:rsidRPr="00EB7417">
        <w:rPr>
          <w:rFonts w:asciiTheme="minorHAnsi" w:eastAsia="Arial Unicode MS" w:hAnsiTheme="minorHAnsi" w:cstheme="minorHAnsi"/>
          <w:lang w:val="en-US"/>
        </w:rPr>
        <w:t xml:space="preserve">, Paola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Collini</w:t>
      </w:r>
      <w:proofErr w:type="spellEnd"/>
      <w:r>
        <w:rPr>
          <w:rFonts w:asciiTheme="minorHAnsi" w:eastAsia="Arial Unicode MS" w:hAnsiTheme="minorHAnsi" w:cstheme="minorHAnsi"/>
          <w:lang w:val="en-US"/>
        </w:rPr>
        <w:t xml:space="preserve">-Martins,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Eneyda</w:t>
      </w:r>
      <w:proofErr w:type="spellEnd"/>
      <w:r>
        <w:rPr>
          <w:rFonts w:asciiTheme="minorHAnsi" w:eastAsia="Arial Unicode MS" w:hAnsiTheme="minorHAnsi" w:cstheme="minorHAnsi"/>
          <w:lang w:val="en-US"/>
        </w:rPr>
        <w:t xml:space="preserve"> Guerra, Lisa Robinson</w:t>
      </w:r>
    </w:p>
    <w:p w:rsidR="002556EE" w:rsidRDefault="002556EE" w:rsidP="002556EE">
      <w:pPr>
        <w:pStyle w:val="Body"/>
        <w:rPr>
          <w:rFonts w:asciiTheme="minorHAnsi" w:eastAsia="Arial Unicode MS" w:hAnsiTheme="minorHAnsi" w:cstheme="minorHAnsi"/>
          <w:lang w:val="en-US"/>
        </w:rPr>
      </w:pPr>
      <w:r w:rsidRPr="00EB7417">
        <w:rPr>
          <w:rFonts w:asciiTheme="minorHAnsi" w:eastAsia="Arial Unicode MS" w:hAnsiTheme="minorHAnsi" w:cstheme="minorHAnsi"/>
          <w:lang w:val="en-US"/>
        </w:rPr>
        <w:t xml:space="preserve">Regrets: Lisa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S</w:t>
      </w:r>
      <w:r>
        <w:rPr>
          <w:rFonts w:asciiTheme="minorHAnsi" w:eastAsia="Arial Unicode MS" w:hAnsiTheme="minorHAnsi" w:cstheme="minorHAnsi"/>
          <w:lang w:val="en-US"/>
        </w:rPr>
        <w:t>hortall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 xml:space="preserve">,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Lovelle</w:t>
      </w:r>
      <w:proofErr w:type="spellEnd"/>
      <w:r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St.Gabriel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 xml:space="preserve">, </w:t>
      </w:r>
      <w:proofErr w:type="spellStart"/>
      <w:r w:rsidRPr="00EB7417">
        <w:rPr>
          <w:rFonts w:asciiTheme="minorHAnsi" w:eastAsia="Arial Unicode MS" w:hAnsiTheme="minorHAnsi" w:cstheme="minorHAnsi"/>
          <w:lang w:val="en-US"/>
        </w:rPr>
        <w:t>Shaida</w:t>
      </w:r>
      <w:proofErr w:type="spellEnd"/>
      <w:r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Addetia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>, Sharma</w:t>
      </w:r>
      <w:r>
        <w:rPr>
          <w:rFonts w:asciiTheme="minorHAnsi" w:eastAsia="Arial Unicode MS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lang w:val="en-US"/>
        </w:rPr>
        <w:t>Queiser</w:t>
      </w:r>
      <w:proofErr w:type="spellEnd"/>
      <w:r w:rsidRPr="00EB7417">
        <w:rPr>
          <w:rFonts w:asciiTheme="minorHAnsi" w:eastAsia="Arial Unicode MS" w:hAnsiTheme="minorHAnsi" w:cstheme="minorHAnsi"/>
          <w:lang w:val="en-US"/>
        </w:rPr>
        <w:t>, Lee S</w:t>
      </w:r>
      <w:r>
        <w:rPr>
          <w:rFonts w:asciiTheme="minorHAnsi" w:eastAsia="Arial Unicode MS" w:hAnsiTheme="minorHAnsi" w:cstheme="minorHAnsi"/>
          <w:lang w:val="en-US"/>
        </w:rPr>
        <w:t>oda</w:t>
      </w:r>
    </w:p>
    <w:tbl>
      <w:tblPr>
        <w:tblStyle w:val="TableGrid"/>
        <w:tblpPr w:leftFromText="180" w:rightFromText="180" w:vertAnchor="page" w:horzAnchor="margin" w:tblpY="3836"/>
        <w:tblW w:w="0" w:type="auto"/>
        <w:tblLook w:val="04A0" w:firstRow="1" w:lastRow="0" w:firstColumn="1" w:lastColumn="0" w:noHBand="0" w:noVBand="1"/>
      </w:tblPr>
      <w:tblGrid>
        <w:gridCol w:w="1883"/>
        <w:gridCol w:w="4630"/>
        <w:gridCol w:w="3063"/>
      </w:tblGrid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4630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3063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4630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Minutes of January 18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, 2016</w:t>
            </w: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Minute Taker- Lisa Robinson</w:t>
            </w:r>
          </w:p>
        </w:tc>
        <w:tc>
          <w:tcPr>
            <w:tcW w:w="3063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Ministry of Child and Youth Services Presentation</w:t>
            </w:r>
          </w:p>
        </w:tc>
        <w:tc>
          <w:tcPr>
            <w:tcW w:w="4630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Development of a Provincial Middle Childhood Strategy</w:t>
            </w: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Presenter: </w:t>
            </w:r>
            <w:proofErr w:type="spellStart"/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Ayasha</w:t>
            </w:r>
            <w:proofErr w:type="spellEnd"/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Mayr</w:t>
            </w:r>
            <w:proofErr w:type="spellEnd"/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Handel (Manager, Youth Strategies Branch) and Shelley Smith (Senior Policy Analyst, Youth Strategies Branch)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Currently: 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Provincial 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Timeframe: Next two-years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Conducting a 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Middle years program inventory: in early stages of establishing a scan; a lot of work will be looking at what already exists and enhancing this</w:t>
            </w: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The process the Ontario Government is undergoing to develop a Middle Childhood Strategy was presented. Some highlights included:</w:t>
            </w:r>
          </w:p>
          <w:p w:rsidR="002556EE" w:rsidRPr="00EA7358" w:rsidRDefault="002556EE" w:rsidP="002556EE">
            <w:pPr>
              <w:pStyle w:val="TableStyle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 policy initiative includ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 in Ontario Youth Action Plan one of which is the c</w:t>
            </w:r>
            <w:r w:rsidRPr="00EA73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ommitment to develop middl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 years strategy </w:t>
            </w:r>
          </w:p>
          <w:p w:rsidR="002556EE" w:rsidRPr="00EA7358" w:rsidRDefault="002556EE" w:rsidP="002556EE">
            <w:pPr>
              <w:pStyle w:val="TableStyle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Recognition of the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need for middle years policy and strategy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Provincial level and desire to collaborate at all levels of government to achieve this</w:t>
            </w:r>
          </w:p>
          <w:p w:rsidR="002556EE" w:rsidRPr="00EA7358" w:rsidRDefault="002556EE" w:rsidP="002556EE">
            <w:pPr>
              <w:pStyle w:val="TableStyle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Acknowledgement of the lack of research available on middle-years children as a challenge for both the MCMCT and Provincial Government was discussed</w:t>
            </w:r>
          </w:p>
          <w:p w:rsidR="002556EE" w:rsidRDefault="002556EE" w:rsidP="002556EE">
            <w:pPr>
              <w:pStyle w:val="TableStyle2"/>
              <w:ind w:firstLine="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Discussion:</w:t>
            </w:r>
          </w:p>
          <w:p w:rsidR="002556EE" w:rsidRPr="00057066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difficulty of working collaboratively at multiple levels of government was discussed in the context of the importance of uniform efforts and outcomes across governmental levels.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Potential funding models were discussed, specifically property tax increase in GTA due to comparatively low rates to aid in funding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childcare subsidies and program funding.</w:t>
            </w: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Importance of family engagement in developing a Provincial Middle Childhood Strategy was highlighted by Coalition members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</w:tcPr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May: The provincial government will be making a call-out for new research on development and practice specific to middle years.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helley Smith is coordinating among groups, please 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>contact if you have ideas about groups to connect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Shelley.Smith@ontario.ca</w:t>
            </w: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 have any families who exhibit high levels of resiliency for case studies on middle childhood development please forward information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Ayasha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Handel at </w:t>
            </w:r>
            <w:hyperlink r:id="rId8" w:history="1">
              <w:r w:rsidRPr="00E320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ayasha.mayrhandel@ontario.ca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and/or Shelley Smith</w:t>
            </w:r>
            <w:r w:rsidRPr="00EB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Shelley.Smith@ontario.ca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Documents and information presented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Ayasha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Handel will be forwarded to members of the Coalition.</w:t>
            </w: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OTF Grant</w:t>
            </w:r>
          </w:p>
        </w:tc>
        <w:tc>
          <w:tcPr>
            <w:tcW w:w="4630" w:type="dxa"/>
          </w:tcPr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Project Coordinator Update/ Next Steps</w:t>
            </w:r>
          </w:p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Coordinator has been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hired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will begin on March 14, 2016. The coordinator will be working out of CAST for the first year of their contract.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Project Coordinator is: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Shaden</w:t>
            </w:r>
            <w:proofErr w:type="spellEnd"/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Jebahi</w:t>
            </w:r>
            <w:proofErr w:type="spellEnd"/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Sick Kids </w:t>
            </w:r>
            <w:proofErr w:type="spellStart"/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Paediatric</w:t>
            </w:r>
            <w:proofErr w:type="spellEnd"/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Residents Meeting Update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Results from the meeting with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SickKids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Residents were shared. The Residents are excited to partner with MCMCT in offering parenting workshops however they are concerned about time constraints. All residents must work on a community project so we will be presenting this as an option for a community project to the incoming residents in July 2016.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Parents Inventory Group</w:t>
            </w: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Lisa will be developing an inventory of parent groups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3063" w:type="dxa"/>
          </w:tcPr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Scheduled to meet again with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SickKids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Residents in April 2016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to contact all Coalition members via email</w:t>
            </w: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Childcare and Early Years Act, 2014 and the Education Act- Consultation Document</w:t>
            </w:r>
          </w:p>
        </w:tc>
        <w:tc>
          <w:tcPr>
            <w:tcW w:w="4630" w:type="dxa"/>
          </w:tcPr>
          <w:p w:rsidR="002556EE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Sector Response and City of Toronto Council Response via Children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’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 Services Response (access, quality and stabilization)</w:t>
            </w:r>
          </w:p>
          <w:p w:rsidR="002556EE" w:rsidRPr="00F12E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coalition decided to collectively respond to the proposed changes. A formal letter will be drafted, circulated for approval from members and submitted by the due date of April 1, 2016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</w:tcPr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 to meet Friday, February 26</w:t>
            </w:r>
            <w:r w:rsidRPr="0005706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initial themes of response to proposed changes (Cindy McCarthy, Ian Edwards, Jillian Sewell, Beverly Ann D’Souza, Lisa Robinson)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members from above group will attend the City of Toronto Early Learning and Care Committee meeting on March 3, 2016 to participate in service provider discussion/feedback (Cindy McCarthy, Jillian Sewell and tentatively Ian Edwards)</w:t>
            </w:r>
          </w:p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Letter will be drafted and circulated to Coalition members for feedback (Lisa Robinson) to be submitted by April 1, 2016 deadline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response.</w:t>
            </w: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Coalition Members</w:t>
            </w:r>
          </w:p>
        </w:tc>
        <w:tc>
          <w:tcPr>
            <w:tcW w:w="4630" w:type="dxa"/>
          </w:tcPr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7417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Sector Updates/Program Updates</w:t>
            </w:r>
          </w:p>
          <w:p w:rsidR="002556EE" w:rsidRPr="00EB7417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Zulekha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U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pdate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 on Model School Parent C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onference:</w:t>
            </w:r>
          </w:p>
          <w:p w:rsidR="002556EE" w:rsidRPr="00057066" w:rsidRDefault="002556EE" w:rsidP="002556E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coalition 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can’t do a presentation as this was already full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have been put forward for 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table at the conference on March </w:t>
            </w:r>
            <w:r w:rsidRPr="00EB74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Pr="00F12E17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This table will provide information on MCMCT and will also act as an opportunity to collect contact information of parents of children between the ages of 6 and 12.</w:t>
            </w:r>
          </w:p>
        </w:tc>
        <w:tc>
          <w:tcPr>
            <w:tcW w:w="3063" w:type="dxa"/>
          </w:tcPr>
          <w:p w:rsidR="002556EE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Project Coordinator to staff the MCMCT table</w:t>
            </w:r>
          </w:p>
        </w:tc>
      </w:tr>
      <w:tr w:rsidR="002556EE" w:rsidRPr="00EB7417" w:rsidTr="002556EE">
        <w:tc>
          <w:tcPr>
            <w:tcW w:w="1883" w:type="dxa"/>
          </w:tcPr>
          <w:p w:rsidR="002556EE" w:rsidRPr="006075DA" w:rsidRDefault="002556EE" w:rsidP="002556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5DA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4630" w:type="dxa"/>
          </w:tcPr>
          <w:p w:rsidR="002556EE" w:rsidRPr="00BE1B99" w:rsidRDefault="002556EE" w:rsidP="002556EE">
            <w:pPr>
              <w:pStyle w:val="TableStyle2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BE1B99">
              <w:rPr>
                <w:rFonts w:asciiTheme="minorHAnsi" w:hAnsiTheme="minorHAnsi" w:cstheme="minorHAnsi"/>
                <w:b/>
                <w:sz w:val="22"/>
                <w:szCs w:val="22"/>
              </w:rPr>
              <w:t>Monday, March 21st, 2016; 7th floor; Room 7-2</w:t>
            </w:r>
          </w:p>
        </w:tc>
        <w:tc>
          <w:tcPr>
            <w:tcW w:w="3063" w:type="dxa"/>
          </w:tcPr>
          <w:p w:rsidR="002556EE" w:rsidRPr="00EB7417" w:rsidRDefault="002556EE" w:rsidP="002556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6EE" w:rsidRDefault="002556EE" w:rsidP="002556EE">
      <w:pPr>
        <w:pStyle w:val="Body"/>
        <w:rPr>
          <w:rFonts w:asciiTheme="minorHAnsi" w:eastAsia="Arial Unicode MS" w:hAnsiTheme="minorHAnsi" w:cstheme="minorHAnsi"/>
          <w:b/>
          <w:lang w:val="en-US"/>
        </w:rPr>
      </w:pPr>
    </w:p>
    <w:p w:rsidR="006F67DC" w:rsidRDefault="006F67DC" w:rsidP="006F67DC">
      <w:pPr>
        <w:pStyle w:val="Body"/>
        <w:rPr>
          <w:rFonts w:asciiTheme="minorHAnsi" w:eastAsia="Arial Unicode MS" w:hAnsiTheme="minorHAnsi" w:cstheme="minorHAnsi"/>
          <w:lang w:val="en-US"/>
        </w:rPr>
        <w:sectPr w:rsidR="006F67D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F67DC" w:rsidRPr="006F67DC" w:rsidRDefault="006F67DC" w:rsidP="006F67DC">
      <w:pPr>
        <w:pStyle w:val="Body"/>
        <w:rPr>
          <w:rFonts w:asciiTheme="minorHAnsi" w:eastAsia="Arial Unicode MS" w:hAnsiTheme="minorHAnsi" w:cstheme="minorHAnsi"/>
          <w:lang w:val="en-US"/>
        </w:rPr>
      </w:pPr>
    </w:p>
    <w:p w:rsidR="00AE3C88" w:rsidRDefault="00AE3C88"/>
    <w:sectPr w:rsidR="00AE3C88" w:rsidSect="006F67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EE" w:rsidRDefault="002556EE" w:rsidP="002556EE">
      <w:r>
        <w:separator/>
      </w:r>
    </w:p>
  </w:endnote>
  <w:endnote w:type="continuationSeparator" w:id="0">
    <w:p w:rsidR="002556EE" w:rsidRDefault="002556EE" w:rsidP="0025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6EE" w:rsidRDefault="0025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6EE" w:rsidRDefault="0025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EE" w:rsidRDefault="002556EE" w:rsidP="002556EE">
      <w:r>
        <w:separator/>
      </w:r>
    </w:p>
  </w:footnote>
  <w:footnote w:type="continuationSeparator" w:id="0">
    <w:p w:rsidR="002556EE" w:rsidRDefault="002556EE" w:rsidP="0025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1AC"/>
    <w:multiLevelType w:val="multilevel"/>
    <w:tmpl w:val="B26E9DEC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">
    <w:nsid w:val="742A433F"/>
    <w:multiLevelType w:val="multilevel"/>
    <w:tmpl w:val="0A12CB8A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2">
    <w:nsid w:val="75A93375"/>
    <w:multiLevelType w:val="multilevel"/>
    <w:tmpl w:val="7EDAE06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8"/>
    <w:rsid w:val="00057066"/>
    <w:rsid w:val="002556EE"/>
    <w:rsid w:val="003C1351"/>
    <w:rsid w:val="006075DA"/>
    <w:rsid w:val="00674620"/>
    <w:rsid w:val="006F67DC"/>
    <w:rsid w:val="008703D1"/>
    <w:rsid w:val="008A340B"/>
    <w:rsid w:val="008C2663"/>
    <w:rsid w:val="00AE3C88"/>
    <w:rsid w:val="00B64A1A"/>
    <w:rsid w:val="00BE1B99"/>
    <w:rsid w:val="00C728C8"/>
    <w:rsid w:val="00C7568F"/>
    <w:rsid w:val="00E75264"/>
    <w:rsid w:val="00EA7358"/>
    <w:rsid w:val="00F12E17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A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EA73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EA7358"/>
    <w:pPr>
      <w:numPr>
        <w:numId w:val="3"/>
      </w:numPr>
    </w:pPr>
  </w:style>
  <w:style w:type="character" w:styleId="Hyperlink">
    <w:name w:val="Hyperlink"/>
    <w:basedOn w:val="DefaultParagraphFont"/>
    <w:rsid w:val="00C756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sha.mayrhandel@ontari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Robinson</dc:creator>
  <cp:lastModifiedBy>Cindy Himelstein</cp:lastModifiedBy>
  <cp:revision>2</cp:revision>
  <dcterms:created xsi:type="dcterms:W3CDTF">2016-03-09T22:09:00Z</dcterms:created>
  <dcterms:modified xsi:type="dcterms:W3CDTF">2016-03-09T22:09:00Z</dcterms:modified>
</cp:coreProperties>
</file>